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648450" cy="13081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1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5"/>
        <w:gridCol w:w="5250"/>
        <w:tblGridChange w:id="0">
          <w:tblGrid>
            <w:gridCol w:w="5145"/>
            <w:gridCol w:w="5250"/>
          </w:tblGrid>
        </w:tblGridChange>
      </w:tblGrid>
      <w:tr>
        <w:tc>
          <w:tcPr>
            <w:shd w:fill="5b9bd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color w:val="ffffff"/>
                <w:sz w:val="48"/>
                <w:szCs w:val="48"/>
                <w:rtl w:val="0"/>
              </w:rPr>
              <w:t xml:space="preserve">Knowledge Organiser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5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3 Spring 2- Playing with sound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Wolfgang Amadeus Mozart</w:t>
            </w:r>
            <w:r w:rsidDel="00000000" w:rsidR="00000000" w:rsidRPr="00000000">
              <w:rPr>
                <w:rtl w:val="0"/>
              </w:rPr>
              <w:t xml:space="preserve"> was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born on January 27th, 1756, in Salzburg, Austria.  Mozart was a musician capable of playing multiple instruments who started playing in public at the age of 6. Someone who writes music is called a composer. He composed many operas and symphonies in his lifetime including The Magic Flute, The Marriage of Figaro and Don Giovanii.  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He composed more than 600 works in his lifetime.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His operas were often performed at the peoples’ opera, and everyone came to see them. He married Constanzein August 1782 and they had six children,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Raimund, Karl, Johann, Theresia, Anna Maria and Franz only 2 of whom survived infancy.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He died at the age of 35 in Vienna in December 1791 and was buried in a paupers grave.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8313" cy="2483304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24833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204913" cy="1725216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7252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 pieces</w:t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Piano sonata K 331 Rondo alla Turca- Wolfgang Amadeus Mozart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Fur Elise- Ludvig van Beethoven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Interrelated Dimensions of Music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Discriminate between loud and soft; gradually increasing and decreasing volume.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melody can move up and down.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pieces we will be studying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My Grandfather’s clock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The Runaway train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The Quartermaster’s stores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Mozart and Beethoven both lived in the period of music that we call the classical era</w:t>
            </w:r>
            <w:r w:rsidDel="00000000" w:rsidR="00000000" w:rsidRPr="00000000">
              <w:rPr/>
              <w:drawing>
                <wp:inline distB="114300" distT="114300" distL="114300" distR="114300">
                  <wp:extent cx="6534150" cy="32639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0" cy="326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2"/>
        <w:gridCol w:w="5243"/>
        <w:tblGridChange w:id="0">
          <w:tblGrid>
            <w:gridCol w:w="5242"/>
            <w:gridCol w:w="5243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Vocabulary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Dynamics </w:t>
            </w:r>
            <w:r w:rsidDel="00000000" w:rsidR="00000000" w:rsidRPr="00000000">
              <w:rPr>
                <w:rtl w:val="0"/>
              </w:rPr>
              <w:t xml:space="preserve">-Loud and soft- introduce correct language-piano soft- forte-loud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Melody </w:t>
            </w:r>
            <w:r w:rsidDel="00000000" w:rsidR="00000000" w:rsidRPr="00000000">
              <w:rPr>
                <w:rtl w:val="0"/>
              </w:rPr>
              <w:t xml:space="preserve">- A sequence of musical notes that is musically satisfying- a tune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Keyboard instruments </w:t>
            </w:r>
            <w:r w:rsidDel="00000000" w:rsidR="00000000" w:rsidRPr="00000000">
              <w:rPr>
                <w:rtl w:val="0"/>
              </w:rPr>
              <w:t xml:space="preserve">- Piano, organ, harpsichord, synthesizers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Composer</w:t>
            </w:r>
            <w:r w:rsidDel="00000000" w:rsidR="00000000" w:rsidRPr="00000000">
              <w:rPr>
                <w:rtl w:val="0"/>
              </w:rPr>
              <w:t xml:space="preserve">- Someone who writes music</w:t>
            </w:r>
          </w:p>
          <w:p w:rsidR="00000000" w:rsidDel="00000000" w:rsidP="00000000" w:rsidRDefault="00000000" w:rsidRPr="00000000" w14:paraId="00000040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Symphony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An elaborate musical composition for full orchestra, typically in four movements, at least one of which is traditionally in sonata form</w:t>
            </w:r>
          </w:p>
          <w:p w:rsidR="00000000" w:rsidDel="00000000" w:rsidP="00000000" w:rsidRDefault="00000000" w:rsidRPr="00000000" w14:paraId="00000041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Sonata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-A composition for an instrumental soloist, often with a piano accompaniment, typically in several movements with one or more in sonata form.</w:t>
            </w:r>
          </w:p>
          <w:p w:rsidR="00000000" w:rsidDel="00000000" w:rsidP="00000000" w:rsidRDefault="00000000" w:rsidRPr="00000000" w14:paraId="00000042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Opera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-A  dramatic work in one or more acts, set to music for singers and instrumentalists.</w:t>
            </w:r>
          </w:p>
          <w:p w:rsidR="00000000" w:rsidDel="00000000" w:rsidP="00000000" w:rsidRDefault="00000000" w:rsidRPr="00000000" w14:paraId="00000043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Useful websites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www.singup.org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Singing Sherlock by Val Whitlock and Shirley Court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The Usbourne’s Children’s Songbook edited by Anthony Marks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The National Songbook: Fifty Great songs for Children to Sing!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Sources of planning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National Curriculum, Civitas Core Knowledge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9D26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A44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x2KFBtN3wYlH3oAuEJbNRPLHA==">AMUW2mVVE0JsAtX/YZkAXm8+c5M58HDwH3ZkjVwvXHY7qS0ekZhT52TZZ/gQ785zTefPINoUOY4XRMSXnTCfOLvOBexwgde5VoOIJ5PuY+lIn+qF+9l4jos=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2019-06-27T14:58:00Z</dcterms:created>
  <dc:creator>Laura Cooper</dc:creator>
</cp:coreProperties>
</file>